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0AB7" w14:textId="77777777" w:rsidR="00CC67C7" w:rsidRPr="008C1982" w:rsidRDefault="00CC67C7" w:rsidP="00CC67C7">
      <w:pPr>
        <w:tabs>
          <w:tab w:val="left" w:pos="709"/>
          <w:tab w:val="left" w:pos="851"/>
          <w:tab w:val="left" w:pos="900"/>
        </w:tabs>
        <w:spacing w:before="240" w:after="240"/>
        <w:jc w:val="center"/>
        <w:rPr>
          <w:rFonts w:ascii="Cambria Math" w:hAnsi="Cambria Math" w:cs="Arial"/>
          <w:i/>
          <w:iCs/>
          <w:color w:val="000000" w:themeColor="text1"/>
          <w:kern w:val="24"/>
          <w:sz w:val="28"/>
          <w:szCs w:val="28"/>
        </w:rPr>
      </w:pPr>
      <m:oMath>
        <m:r>
          <w:rPr>
            <w:rFonts w:ascii="Cambria Math" w:hAnsi="Cambria Math" w:cs="Arial"/>
            <w:color w:val="000000" w:themeColor="text1"/>
            <w:kern w:val="24"/>
            <w:sz w:val="28"/>
            <w:szCs w:val="28"/>
          </w:rPr>
          <m:t>QNU=</m:t>
        </m:r>
        <m:d>
          <m:dPr>
            <m:ctrlPr>
              <w:rPr>
                <w:rFonts w:ascii="Cambria Math" w:hAnsi="Cambria Math" w:cs="Arial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kern w:val="24"/>
                <w:sz w:val="28"/>
                <w:szCs w:val="28"/>
              </w:rPr>
              <m:t>85% x 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Arial"/>
                    <w:color w:val="000000" w:themeColor="text1"/>
                    <w:kern w:val="24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hAnsi="Cambria Math" w:cs="Arial"/>
                    <w:color w:val="000000" w:themeColor="text1"/>
                    <w:kern w:val="24"/>
                    <w:sz w:val="28"/>
                    <w:szCs w:val="28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 w:themeColor="text1"/>
                        <w:kern w:val="24"/>
                        <w:sz w:val="28"/>
                        <w:szCs w:val="28"/>
                      </w:rPr>
                      <m:t>CDC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 w:themeColor="text1"/>
                        <w:kern w:val="24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e>
        </m:d>
        <m:r>
          <w:rPr>
            <w:rFonts w:ascii="Cambria Math" w:hAnsi="Cambria Math" w:cs="Arial"/>
            <w:color w:val="000000" w:themeColor="text1"/>
            <w:kern w:val="24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Arial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kern w:val="24"/>
                    <w:sz w:val="28"/>
                    <w:szCs w:val="28"/>
                  </w:rPr>
                  <m:t>QN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kern w:val="24"/>
                    <w:sz w:val="28"/>
                    <w:szCs w:val="28"/>
                  </w:rPr>
                  <m:t>FSD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kern w:val="24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kern w:val="24"/>
                    <w:sz w:val="28"/>
                    <w:szCs w:val="28"/>
                  </w:rPr>
                  <m:t>QN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kern w:val="24"/>
                    <w:sz w:val="28"/>
                    <w:szCs w:val="28"/>
                  </w:rPr>
                  <m:t>FM</m:t>
                </m:r>
              </m:sub>
            </m:sSub>
          </m:e>
        </m:d>
        <m:r>
          <w:rPr>
            <w:rFonts w:ascii="Cambria Math" w:hAnsi="Cambria Math" w:cs="Arial"/>
            <w:color w:val="000000" w:themeColor="text1"/>
            <w:kern w:val="24"/>
            <w:sz w:val="28"/>
            <w:szCs w:val="28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Arial"/>
                <w:color w:val="000000" w:themeColor="text1"/>
                <w:kern w:val="24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Arial"/>
                <w:color w:val="000000" w:themeColor="text1"/>
                <w:kern w:val="24"/>
                <w:sz w:val="28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kern w:val="24"/>
                    <w:sz w:val="28"/>
                    <w:szCs w:val="28"/>
                  </w:rPr>
                  <m:t>CDR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kern w:val="24"/>
                    <w:sz w:val="28"/>
                    <w:szCs w:val="28"/>
                  </w:rPr>
                  <m:t>j</m:t>
                </m:r>
              </m:sub>
            </m:sSub>
          </m:e>
        </m:nary>
        <m:r>
          <w:rPr>
            <w:rFonts w:ascii="Cambria Math" w:hAnsi="Cambria Math" w:cs="Arial"/>
            <w:color w:val="000000" w:themeColor="text1"/>
            <w:kern w:val="24"/>
            <w:sz w:val="28"/>
            <w:szCs w:val="28"/>
          </w:rPr>
          <m:t> </m:t>
        </m:r>
      </m:oMath>
      <w:r w:rsidRPr="008C1982">
        <w:rPr>
          <w:rFonts w:ascii="Arial" w:hAnsi="Arial"/>
          <w:i/>
          <w:iCs/>
          <w:color w:val="000000" w:themeColor="text1"/>
          <w:kern w:val="24"/>
          <w:sz w:val="28"/>
          <w:szCs w:val="28"/>
        </w:rPr>
        <w:t>, onde:</w:t>
      </w:r>
    </w:p>
    <w:tbl>
      <w:tblPr>
        <w:tblW w:w="83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560"/>
        <w:gridCol w:w="6236"/>
      </w:tblGrid>
      <w:tr w:rsidR="00CC67C7" w:rsidRPr="008C1982" w14:paraId="64332CA6" w14:textId="77777777" w:rsidTr="00CA0A84"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1B2D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QNU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7A2E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-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1D6F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É a QUANTIDADE NÃO UTILIZADA (QNU) do SISTEMA DE DISTRIBUIÇÃO no correspondente PERÍODO DE FATURAMENTO, sendo igual a zero se o cálculo resultar negativo;</w:t>
            </w:r>
          </w:p>
        </w:tc>
      </w:tr>
      <w:tr w:rsidR="00CC67C7" w:rsidRPr="008C1982" w14:paraId="4B0367DA" w14:textId="77777777" w:rsidTr="00CA0A84"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C9ED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proofErr w:type="spellStart"/>
            <w:r w:rsidRPr="008C1982">
              <w:rPr>
                <w:b/>
                <w:bCs/>
              </w:rPr>
              <w:t>CDC</w:t>
            </w:r>
            <w:r w:rsidRPr="008C1982">
              <w:rPr>
                <w:b/>
                <w:bCs/>
                <w:vertAlign w:val="subscript"/>
              </w:rPr>
              <w:t>j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358F8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-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1410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É a CAPACIDADE DIÁRIA CONTRATUAL (CDC) vigente no Dia “j”;</w:t>
            </w:r>
          </w:p>
        </w:tc>
      </w:tr>
      <w:tr w:rsidR="00CC67C7" w:rsidRPr="008C1982" w14:paraId="1D72DD25" w14:textId="77777777" w:rsidTr="00CA0A84"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FF51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P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6C090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-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60AA3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É o número de Dias do correspondente PERÍODO DE FATURAMENTO;</w:t>
            </w:r>
          </w:p>
        </w:tc>
      </w:tr>
      <w:tr w:rsidR="00CC67C7" w:rsidRPr="008C1982" w14:paraId="3AFF9877" w14:textId="77777777" w:rsidTr="00CA0A84"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92B5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QN</w:t>
            </w:r>
            <w:r w:rsidRPr="008C1982">
              <w:rPr>
                <w:b/>
                <w:bCs/>
                <w:vertAlign w:val="subscript"/>
              </w:rPr>
              <w:t>FSD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016B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-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53A5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É a capacidade de serviço de distribuição não disponibilizada devido a FALHA NO SERVIÇO DE DISTRIBUIÇÃO da GASMIG calculado conforme item 11.3 no respectivo PERÍODO DE FATURAMENTO;</w:t>
            </w:r>
          </w:p>
        </w:tc>
      </w:tr>
      <w:tr w:rsidR="00CC67C7" w:rsidRPr="008C1982" w14:paraId="5083D4ED" w14:textId="77777777" w:rsidTr="00CA0A84"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D78E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QN</w:t>
            </w:r>
            <w:r w:rsidRPr="008C1982">
              <w:rPr>
                <w:b/>
                <w:bCs/>
                <w:vertAlign w:val="subscript"/>
              </w:rPr>
              <w:t>FM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69FB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-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8A4B7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É a capacidade de serviço de distribuição não utilizada decorrente de CASO FORTUITO OU FORÇA MAIOR no respectivo PERÍODO DE FATURAMENTO;</w:t>
            </w:r>
          </w:p>
        </w:tc>
      </w:tr>
      <w:tr w:rsidR="00CC67C7" w:rsidRPr="008C1982" w14:paraId="2ED6D6F3" w14:textId="77777777" w:rsidTr="00CA0A84"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56C5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proofErr w:type="spellStart"/>
            <w:r w:rsidRPr="008C1982">
              <w:rPr>
                <w:b/>
                <w:bCs/>
              </w:rPr>
              <w:t>CDR</w:t>
            </w:r>
            <w:r w:rsidRPr="008C1982">
              <w:rPr>
                <w:b/>
                <w:bCs/>
                <w:vertAlign w:val="subscript"/>
              </w:rPr>
              <w:t>j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B921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-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000AD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É o somatório das CAPACIDADE DIÁRIA RETIRADA (CDR) no DIA “j”;</w:t>
            </w:r>
          </w:p>
        </w:tc>
      </w:tr>
      <w:tr w:rsidR="00CC67C7" w:rsidRPr="008C1982" w14:paraId="13F3FA77" w14:textId="77777777" w:rsidTr="00CA0A84"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E38D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j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63F56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-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990A" w14:textId="77777777" w:rsidR="00CC67C7" w:rsidRPr="008C1982" w:rsidRDefault="00CC67C7" w:rsidP="00CA0A84">
            <w:pPr>
              <w:jc w:val="both"/>
              <w:rPr>
                <w:b/>
                <w:bCs/>
              </w:rPr>
            </w:pPr>
            <w:r w:rsidRPr="008C1982">
              <w:rPr>
                <w:b/>
                <w:bCs/>
              </w:rPr>
              <w:t>É um determinado Dia do correspondente PERÍODO DE FATURAMENTO;</w:t>
            </w:r>
          </w:p>
        </w:tc>
      </w:tr>
    </w:tbl>
    <w:p w14:paraId="6C5732ED" w14:textId="77777777" w:rsidR="00633CEE" w:rsidRPr="00CC67C7" w:rsidRDefault="00633CEE" w:rsidP="00CC67C7"/>
    <w:sectPr w:rsidR="00633CEE" w:rsidRPr="00CC6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EE"/>
    <w:rsid w:val="00633CEE"/>
    <w:rsid w:val="00CC67C7"/>
    <w:rsid w:val="00D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403D"/>
  <w15:chartTrackingRefBased/>
  <w15:docId w15:val="{354334F3-48E9-45AF-94B7-194A7682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EE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33C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C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C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C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C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CE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CE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CE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CE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C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C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C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3C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C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3CEE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3C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3CEE"/>
    <w:pPr>
      <w:spacing w:after="160" w:line="278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3C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C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3CE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33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01</dc:creator>
  <cp:keywords/>
  <dc:description/>
  <cp:lastModifiedBy>office 01</cp:lastModifiedBy>
  <cp:revision>2</cp:revision>
  <dcterms:created xsi:type="dcterms:W3CDTF">2025-05-16T17:27:00Z</dcterms:created>
  <dcterms:modified xsi:type="dcterms:W3CDTF">2025-05-16T17:45:00Z</dcterms:modified>
</cp:coreProperties>
</file>